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2F3B47"/>
          <w:sz w:val="34"/>
          <w:szCs w:val="34"/>
        </w:rPr>
        <w:t xml:space="preserve">Wzór dokumentu</w:t>
      </w:r>
    </w:p>
    <w:p>
      <w:pPr>
        <w:pBdr>
          <w:bottom w:val="single" w:color="4A5D6E" w:sz="8" w:space="6"/>
        </w:pBdr>
        <w:spacing w:after="200"/>
      </w:pPr>
      <w:r>
        <w:rPr>
          <w:rFonts w:ascii="Calibri" w:cs="Calibri" w:eastAsia="Calibri" w:hAnsi="Calibri"/>
          <w:color w:val="4A5D6E"/>
          <w:sz w:val="26"/>
          <w:szCs w:val="26"/>
        </w:rPr>
        <w:t xml:space="preserve">Informacje dla przedsiębiorcy (usuń tę stronę przed wdrożeniem)</w:t>
      </w:r>
    </w:p>
    <w:p>
      <w:pPr>
        <w:spacing w:after="10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Poniższy dokument to uniwersalny wzór </w:t>
      </w: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polityki przeciwdziałania dyskryminacji ze względu na wiek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. Może z niego skorzystać każdy pracodawca lub przedsiębiorca zatrudniający osoby na umowę o pracę, umowy cywilnoprawne lub współpracujący z osobami prowadzącymi własną działalność.</w:t>
      </w:r>
    </w:p>
    <w:p>
      <w:pPr>
        <w:pStyle w:val="Heading1"/>
        <w:keepNext/>
        <w:pBdr>
          <w:bottom w:val="single" w:color="B5BDC4" w:sz="6" w:space="3"/>
        </w:pBdr>
        <w:spacing w:after="140" w:before="340"/>
      </w:pPr>
      <w:r>
        <w:rPr>
          <w:rFonts w:ascii="Calibri" w:cs="Calibri" w:eastAsia="Calibri" w:hAnsi="Calibri"/>
          <w:b/>
          <w:bCs/>
          <w:color w:val="4A5D6E"/>
          <w:sz w:val="26"/>
          <w:szCs w:val="26"/>
        </w:rPr>
        <w:t xml:space="preserve">Jak wdrożyć politykę w firmie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Uzupełnij pola w nawiasach kwadratowych, zaznaczone szarym tłem: nazwę firmy, dane osób odpowiedzialnych, terminy. Po uzupełnieniu usuń podświetlenie: zaznacz cały tekst (Ctrl+A) i wybierz „Kolor wyróżnienia tekstu” → „Brak koloru”.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Dostosuj treść do wielkości i specyfiki firmy. W małej firmie zamiast komisji wystarczy jedna osoba prowadząca postępowanie wyjaśniające. Fragmenty nieistotne dla Twojej działalności możesz usunąć.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Zapoznaj wszystkich pracowników z polityką i zbierz potwierdzenia (Załącznik nr 2). Warto udostępnić ją także osobom współpracującym z firmą poza etatem.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Upewnij się, że polityka jest spójna z regulaminem pracy, procedurą przeciwdziałania mobbingowi oraz zasadami ochrony danych osobowych (RODO).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Przejrzyj wzory ogłoszeń o pracę i formularze ocen. Pomoże w tym Załącznik nr 3.</w:t>
      </w:r>
    </w:p>
    <w:p>
      <w:pPr>
        <w:pStyle w:val="Heading1"/>
        <w:keepNext/>
        <w:pBdr>
          <w:bottom w:val="single" w:color="B5BDC4" w:sz="6" w:space="3"/>
        </w:pBdr>
        <w:spacing w:after="140" w:before="340"/>
      </w:pPr>
      <w:r>
        <w:rPr>
          <w:rFonts w:ascii="Calibri" w:cs="Calibri" w:eastAsia="Calibri" w:hAnsi="Calibri"/>
          <w:b/>
          <w:bCs/>
          <w:color w:val="4A5D6E"/>
          <w:sz w:val="26"/>
          <w:szCs w:val="26"/>
        </w:rPr>
        <w:t xml:space="preserve">Dobrze wiedzieć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F6F7F9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pStyle w:val="ListParagraph"/>
              <w:numPr>
                <w:ilvl w:val="0"/>
                <w:numId w:val="3"/>
              </w:numPr>
              <w:spacing w:after="80" w:line="270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Kodeks pracy zakazuje dyskryminacji w zatrudnieniu (art. 11³) i zobowiązuje pracodawcę do jej przeciwdziałania (art. 94 pkt 2b). Nie wymaga jednak osobnej, pisemnej polityki antydyskryminacyjnej. Posiadanie takiego dokumentu jest dobrą praktyką i ułatwia wykazanie, że firma dochowuje należytej staranności.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80" w:line="270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Ochrona przed dyskryminacją ze względu na wiek dotyczy zarówno osób starszych, jak i młodszych.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80" w:line="270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Wzór ma charakter ogólny i nie stanowi porady prawnej. Przepisy mogą się zmieniać, dlatego przed wdrożeniem sprawdź aktualny stan prawny i w razie potrzeby skonsultuj dokument z prawnikiem lub inspektorem ochrony danych.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0" w:line="270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Informacje o obowiązkach pracodawcy znajdziesz na stronie Państwowej Inspekcji Pracy (pip.gov.pl).</w:t>
            </w:r>
          </w:p>
        </w:tc>
      </w:tr>
    </w:tbl>
    <w:p>
      <w:pPr>
        <w:sectPr>
          <w:pgSz w:w="11906" w:h="16838" w:orient="portrait"/>
          <w:pgMar w:top="1134" w:right="1134" w:bottom="1134" w:left="1134" w:header="708" w:footer="708" w:gutter="0"/>
          <w:pgNumType/>
          <w:docGrid w:linePitch="360"/>
        </w:sectPr>
      </w:pPr>
    </w:p>
    <w:p>
      <w:pPr>
        <w:spacing w:after="60"/>
      </w:pPr>
      <w:r>
        <w:rPr>
          <w:rFonts w:ascii="Calibri" w:cs="Calibri" w:eastAsia="Calibri" w:hAnsi="Calibri"/>
          <w:b/>
          <w:bCs/>
          <w:color w:val="2F3B47"/>
          <w:sz w:val="34"/>
          <w:szCs w:val="34"/>
        </w:rPr>
        <w:t xml:space="preserve">POLITYKA PRZECIWDZIAŁANIA DYSKRYMINACJI ZE WZGLĘDU NA WIEK</w:t>
      </w:r>
    </w:p>
    <w:p>
      <w:pPr>
        <w:pBdr>
          <w:bottom w:val="single" w:color="4A5D6E" w:sz="8" w:space="6"/>
        </w:pBdr>
        <w:spacing w:after="200"/>
      </w:pPr>
      <w:r>
        <w:rPr>
          <w:rFonts w:ascii="Calibri" w:cs="Calibri" w:eastAsia="Calibri" w:hAnsi="Calibri"/>
          <w:color w:val="4A5D6E"/>
          <w:sz w:val="26"/>
          <w:szCs w:val="26"/>
          <w:highlight w:val="lightGray"/>
          <w:highlightCs w:val="lightGray"/>
        </w:rPr>
        <w:t xml:space="preserve">[Nazwa firmy]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6738"/>
      </w:tblGrid>
      <w:tr>
        <w:trPr>
          <w:cantSplit/>
        </w:trPr>
        <w:tc>
          <w:tcPr>
            <w:tcW w:type="dxa" w:w="29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Pracodawca</w:t>
            </w:r>
          </w:p>
        </w:tc>
        <w:tc>
          <w:tcPr>
            <w:tcW w:type="dxa" w:w="67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  <w:highlight w:val="lightGray"/>
                <w:highlightCs w:val="lightGray"/>
              </w:rPr>
              <w:t xml:space="preserve">[Pełna nazwa firmy]</w:t>
            </w: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, </w:t>
            </w:r>
            <w:r>
              <w:rPr>
                <w:rFonts w:ascii="Calibri" w:cs="Calibri" w:eastAsia="Calibri" w:hAnsi="Calibri"/>
                <w:color w:val="2F3B47"/>
                <w:sz w:val="21"/>
                <w:szCs w:val="21"/>
                <w:highlight w:val="lightGray"/>
                <w:highlightCs w:val="lightGray"/>
              </w:rPr>
              <w:t xml:space="preserve">[adres siedziby]</w:t>
            </w: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, NIP </w:t>
            </w:r>
            <w:r>
              <w:rPr>
                <w:rFonts w:ascii="Calibri" w:cs="Calibri" w:eastAsia="Calibri" w:hAnsi="Calibri"/>
                <w:color w:val="2F3B47"/>
                <w:sz w:val="21"/>
                <w:szCs w:val="21"/>
                <w:highlight w:val="lightGray"/>
                <w:highlightCs w:val="lightGray"/>
              </w:rPr>
              <w:t xml:space="preserve">[numer]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Wersja</w:t>
            </w:r>
          </w:p>
        </w:tc>
        <w:tc>
          <w:tcPr>
            <w:tcW w:type="dxa" w:w="67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1.0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Data wprowadzenia</w:t>
            </w:r>
          </w:p>
        </w:tc>
        <w:tc>
          <w:tcPr>
            <w:tcW w:type="dxa" w:w="67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  <w:highlight w:val="lightGray"/>
                <w:highlightCs w:val="lightGray"/>
              </w:rPr>
              <w:t xml:space="preserve">[dd.mm.rrrr]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Zatwierdził(a)</w:t>
            </w:r>
          </w:p>
        </w:tc>
        <w:tc>
          <w:tcPr>
            <w:tcW w:type="dxa" w:w="67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  <w:highlight w:val="lightGray"/>
                <w:highlightCs w:val="lightGray"/>
              </w:rPr>
              <w:t xml:space="preserve">[imię i nazwisko, stanowisko]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Osoba Odpowiedzialna</w:t>
            </w:r>
          </w:p>
        </w:tc>
        <w:tc>
          <w:tcPr>
            <w:tcW w:type="dxa" w:w="67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  <w:highlight w:val="lightGray"/>
                <w:highlightCs w:val="lightGray"/>
              </w:rPr>
              <w:t xml:space="preserve">[imię i nazwisko, stanowisko, e-mail, telefon]</w:t>
            </w:r>
          </w:p>
        </w:tc>
      </w:tr>
      <w:tr>
        <w:trPr>
          <w:cantSplit/>
        </w:trPr>
        <w:tc>
          <w:tcPr>
            <w:tcW w:type="dxa" w:w="29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Data kolejnego przeglądu</w:t>
            </w:r>
          </w:p>
        </w:tc>
        <w:tc>
          <w:tcPr>
            <w:tcW w:type="dxa" w:w="67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  <w:highlight w:val="lightGray"/>
                <w:highlightCs w:val="lightGray"/>
              </w:rPr>
              <w:t xml:space="preserve">[dd.mm.rrrr]</w:t>
            </w:r>
          </w:p>
        </w:tc>
      </w:tr>
    </w:tbl>
    <w:p>
      <w:pPr>
        <w:pStyle w:val="Heading1"/>
        <w:keepNext/>
        <w:pBdr>
          <w:bottom w:val="single" w:color="B5BDC4" w:sz="6" w:space="3"/>
        </w:pBdr>
        <w:spacing w:after="140" w:before="340"/>
      </w:pPr>
      <w:r>
        <w:rPr>
          <w:rFonts w:ascii="Calibri" w:cs="Calibri" w:eastAsia="Calibri" w:hAnsi="Calibri"/>
          <w:b/>
          <w:bCs/>
          <w:color w:val="4A5D6E"/>
          <w:sz w:val="26"/>
          <w:szCs w:val="26"/>
        </w:rPr>
        <w:t xml:space="preserve">§ 1. Cel i podstawy prawne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Niniejsza Polityka określa zasady przeciwdziałania dyskryminacji ze względu na wiek w </w:t>
      </w: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[Nazwa firmy]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 („Firma”) oraz procedurę zgłaszania i rozpatrywania naruszeń.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Firma zapewnia, że o sposobie traktowania osoby w miejscu pracy, od rekrutacji po zakończenie współpracy, decydują kompetencje, doświadczenie i wyniki pracy, a nie data urodzenia ani stereotypy związane z wiekiem.</w:t>
      </w:r>
    </w:p>
    <w:p>
      <w:pPr>
        <w:pStyle w:val="ListParagraph"/>
        <w:numPr>
          <w:ilvl w:val="0"/>
          <w:numId w:val="4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Polityka opiera się w szczególności na:</w:t>
      </w:r>
    </w:p>
    <w:p>
      <w:pPr>
        <w:pStyle w:val="ListParagraph"/>
        <w:numPr>
          <w:ilvl w:val="1"/>
          <w:numId w:val="4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art. 32 Konstytucji Rzeczypospolitej Polskiej (równość wobec prawa i zakaz dyskryminacji),</w:t>
      </w:r>
    </w:p>
    <w:p>
      <w:pPr>
        <w:pStyle w:val="ListParagraph"/>
        <w:numPr>
          <w:ilvl w:val="1"/>
          <w:numId w:val="4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ustawie z dnia 26 czerwca 1974 r. Kodeks pracy, w szczególności art. 11², 11³, 18³a–18³e oraz 94 pkt 2b,</w:t>
      </w:r>
    </w:p>
    <w:p>
      <w:pPr>
        <w:pStyle w:val="ListParagraph"/>
        <w:numPr>
          <w:ilvl w:val="1"/>
          <w:numId w:val="4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ustawie z dnia 3 grudnia 2010 r. o wdrożeniu niektórych przepisów Unii Europejskiej w zakresie równego traktowania,</w:t>
      </w:r>
    </w:p>
    <w:p>
      <w:pPr>
        <w:pStyle w:val="ListParagraph"/>
        <w:numPr>
          <w:ilvl w:val="1"/>
          <w:numId w:val="4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dyrektywie Rady 2000/78/WE z dnia 27 listopada 2000 r. ustanawiającej ogólne warunki ramowe równego traktowania w zakresie zatrudnienia i pracy.</w:t>
      </w:r>
    </w:p>
    <w:p>
      <w:pPr>
        <w:pStyle w:val="Heading1"/>
        <w:keepNext/>
        <w:pBdr>
          <w:bottom w:val="single" w:color="B5BDC4" w:sz="6" w:space="3"/>
        </w:pBdr>
        <w:spacing w:after="140" w:before="340"/>
      </w:pPr>
      <w:r>
        <w:rPr>
          <w:rFonts w:ascii="Calibri" w:cs="Calibri" w:eastAsia="Calibri" w:hAnsi="Calibri"/>
          <w:b/>
          <w:bCs/>
          <w:color w:val="4A5D6E"/>
          <w:sz w:val="26"/>
          <w:szCs w:val="26"/>
        </w:rPr>
        <w:t xml:space="preserve">§ 2. Zakres stosowania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Polityka dotyczy wszystkich osób związanych z Firmą, w tym:</w:t>
      </w:r>
    </w:p>
    <w:p>
      <w:pPr>
        <w:pStyle w:val="ListParagraph"/>
        <w:numPr>
          <w:ilvl w:val="1"/>
          <w:numId w:val="5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kandydatów do pracy,</w:t>
      </w:r>
    </w:p>
    <w:p>
      <w:pPr>
        <w:pStyle w:val="ListParagraph"/>
        <w:numPr>
          <w:ilvl w:val="1"/>
          <w:numId w:val="5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pracowników, niezależnie od rodzaju umowy, wymiaru czasu pracy i stażu,</w:t>
      </w:r>
    </w:p>
    <w:p>
      <w:pPr>
        <w:pStyle w:val="ListParagraph"/>
        <w:numPr>
          <w:ilvl w:val="1"/>
          <w:numId w:val="5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osób świadczących pracę lub usługi na podstawie umów cywilnoprawnych oraz osób współpracujących z Firmą w ramach własnej działalności gospodarczej,</w:t>
      </w:r>
    </w:p>
    <w:p>
      <w:pPr>
        <w:pStyle w:val="ListParagraph"/>
        <w:numPr>
          <w:ilvl w:val="1"/>
          <w:numId w:val="5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praktykantów, stażystów i wolontariuszy,</w:t>
      </w:r>
    </w:p>
    <w:p>
      <w:pPr>
        <w:pStyle w:val="ListParagraph"/>
        <w:numPr>
          <w:ilvl w:val="1"/>
          <w:numId w:val="5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osób skierowanych do Firmy przez agencje pracy tymczasowej.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Polityka obowiązuje we wszystkich obszarach działalności Firmy, w szczególności w zakresie:</w:t>
      </w:r>
    </w:p>
    <w:p>
      <w:pPr>
        <w:pStyle w:val="ListParagraph"/>
        <w:numPr>
          <w:ilvl w:val="1"/>
          <w:numId w:val="5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rekrutacji, selekcji i treści ogłoszeń o pracę,</w:t>
      </w:r>
    </w:p>
    <w:p>
      <w:pPr>
        <w:pStyle w:val="ListParagraph"/>
        <w:numPr>
          <w:ilvl w:val="1"/>
          <w:numId w:val="5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nawiązywania i rozwiązywania stosunku pracy lub współpracy,</w:t>
      </w:r>
    </w:p>
    <w:p>
      <w:pPr>
        <w:pStyle w:val="ListParagraph"/>
        <w:numPr>
          <w:ilvl w:val="1"/>
          <w:numId w:val="5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warunków zatrudnienia i organizacji pracy,</w:t>
      </w:r>
    </w:p>
    <w:p>
      <w:pPr>
        <w:pStyle w:val="ListParagraph"/>
        <w:numPr>
          <w:ilvl w:val="1"/>
          <w:numId w:val="5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wynagrodzenia oraz świadczeń dodatkowych,</w:t>
      </w:r>
    </w:p>
    <w:p>
      <w:pPr>
        <w:pStyle w:val="ListParagraph"/>
        <w:numPr>
          <w:ilvl w:val="1"/>
          <w:numId w:val="5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awansowania i ścieżek kariery,</w:t>
      </w:r>
    </w:p>
    <w:p>
      <w:pPr>
        <w:pStyle w:val="ListParagraph"/>
        <w:numPr>
          <w:ilvl w:val="1"/>
          <w:numId w:val="5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dostępu do szkoleń i rozwoju zawodowego,</w:t>
      </w:r>
    </w:p>
    <w:p>
      <w:pPr>
        <w:pStyle w:val="ListParagraph"/>
        <w:numPr>
          <w:ilvl w:val="1"/>
          <w:numId w:val="5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oceny pracy oraz przydziału zadań i projektów,</w:t>
      </w:r>
    </w:p>
    <w:p>
      <w:pPr>
        <w:pStyle w:val="ListParagraph"/>
        <w:numPr>
          <w:ilvl w:val="1"/>
          <w:numId w:val="5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zwolnień grupowych i restrukturyzacji.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Zakaz dyskryminacji obejmuje wszystkie grupy wiekowe: zarówno osoby młode rozpoczynające karierę, jak i osoby w średnim wieku oraz starsze, w tym zbliżające się do wieku emerytalnego.</w:t>
      </w:r>
    </w:p>
    <w:p>
      <w:pPr>
        <w:pStyle w:val="ListParagraph"/>
        <w:numPr>
          <w:ilvl w:val="0"/>
          <w:numId w:val="5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Firma nie toleruje zachowań dyskryminujących ze względu na wiek również ze strony klientów, kontrahentów i innych osób trzecich wobec osób pracujących w Firmie.</w:t>
      </w:r>
    </w:p>
    <w:p>
      <w:pPr>
        <w:pStyle w:val="Heading1"/>
        <w:keepNext/>
        <w:pBdr>
          <w:bottom w:val="single" w:color="B5BDC4" w:sz="6" w:space="3"/>
        </w:pBdr>
        <w:spacing w:after="140" w:before="340"/>
      </w:pPr>
      <w:r>
        <w:rPr>
          <w:rFonts w:ascii="Calibri" w:cs="Calibri" w:eastAsia="Calibri" w:hAnsi="Calibri"/>
          <w:b/>
          <w:bCs/>
          <w:color w:val="4A5D6E"/>
          <w:sz w:val="26"/>
          <w:szCs w:val="26"/>
        </w:rPr>
        <w:t xml:space="preserve">§ 3. Definicje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Dyskryminacja ze względu na wiek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: mniej korzystne traktowanie osoby z powodu jej wieku (rzeczywistego lub przypisywanego) niż traktowana jest, była lub byłaby inna osoba w porównywalnej sytuacji.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Dyskryminacja bezpośrednia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: sytuacja, w której osoba z powodu swojego wieku jest, była lub mogłaby być traktowana mniej korzystnie niż inne osoby w porównywalnej sytuacji. Przykład: odmowa zatrudnienia kandydata, bo jest „zbyt młody” lub „zbyt stary”.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Dyskryminacja pośrednia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: sytuacja, w której pozornie neutralne postanowienie, kryterium lub działanie powoduje lub może powodować niekorzystne dysproporcje albo szczególnie niekorzystną sytuację osób z określonej grupy wiekowej, chyba że jest obiektywnie uzasadnione zgodnym z prawem celem, a środki jego osiągnięcia są właściwe i konieczne. Przykład: wymóg ukończenia studiów w ostatnich dwóch latach, gdy nie ma on związku z wykonywaną pracą.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Molestowanie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: niepożądane zachowanie związane z wiekiem, którego celem lub skutkiem jest naruszenie godności osoby i stworzenie wobec niej zastraszającej, wrogiej, poniżającej, upokarzającej lub uwłaczającej atmosfery.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Nakłanianie do dyskryminacji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: zachęcanie innej osoby do naruszenia zasady równego traktowania lub polecenie takiego naruszenia. Jest to również uznawane za dyskryminację.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Działania odwetowe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: jakiekolwiek niekorzystne traktowanie osoby w związku ze zgłoszeniem naruszenia, udziałem w postępowaniu wyjaśniającym lub złożeniem zeznań.</w:t>
      </w:r>
    </w:p>
    <w:p>
      <w:pPr>
        <w:pStyle w:val="ListParagraph"/>
        <w:numPr>
          <w:ilvl w:val="0"/>
          <w:numId w:val="6"/>
        </w:numPr>
        <w:spacing w:after="80" w:line="276"/>
      </w:pPr>
      <w:r>
        <w:rPr>
          <w:rFonts w:ascii="Calibri" w:cs="Calibri" w:eastAsia="Calibri" w:hAnsi="Calibri"/>
          <w:b/>
          <w:bCs/>
          <w:color w:val="2F3B47"/>
          <w:sz w:val="22"/>
          <w:szCs w:val="22"/>
        </w:rPr>
        <w:t xml:space="preserve">Osoba Odpowiedzialna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: osoba wskazana w tabeli na początku Polityki, odpowiedzialna za wdrożenie Polityki, przyjmowanie zgłoszeń i koordynację postępowań wyjaśniających.</w:t>
      </w:r>
    </w:p>
    <w:p>
      <w:pPr>
        <w:pStyle w:val="Heading1"/>
        <w:keepNext/>
        <w:pBdr>
          <w:bottom w:val="single" w:color="B5BDC4" w:sz="6" w:space="3"/>
        </w:pBdr>
        <w:spacing w:after="140" w:before="340"/>
      </w:pPr>
      <w:r>
        <w:rPr>
          <w:rFonts w:ascii="Calibri" w:cs="Calibri" w:eastAsia="Calibri" w:hAnsi="Calibri"/>
          <w:b/>
          <w:bCs/>
          <w:color w:val="4A5D6E"/>
          <w:sz w:val="26"/>
          <w:szCs w:val="26"/>
        </w:rPr>
        <w:t xml:space="preserve">§ 4. Zasady równego traktowania ze względu na wiek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Firma zobowiązuje się do: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podejmowania decyzji kadrowych na podstawie obiektywnych kryteriów, takich jak kwalifikacje, umiejętności, doświadczenie, wyniki pracy i potencjał,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formułowania ogłoszeń o pracę bez odniesień do wieku, także pośrednich (np. „młody zespół”, „dynamiczna osoba”, „do 35 lat”),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niewykorzystywania daty urodzenia w ocenie kandydatów i pracowników; dane o wieku są przetwarzane wyłącznie w zakresie wymaganym przepisami prawa,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zapewnienia równego dostępu do szkoleń i rozwoju, w tym szkoleń z nowych technologii, niezależnie od wieku i bliskości emerytury,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stosowania jednolitych, przejrzystych kryteriów oceny okresowej i awansowania,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ustalania wynagrodzenia za jednakową pracę lub pracę o jednakowej wartości według jednakowych kryteriów, bez względu na wiek,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niewywierania presji na odejście na emeryturę, rezygnację ani rozwiązanie umowy ze względu na wiek,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wspierania współpracy międzypokoleniowej, w tym mentoringu i przekazywania wiedzy między osobami w różnym wieku.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Przykłady zachowań niedozwolonych: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odmowa zatrudnienia, awansu, szkolenia lub podwyżki z powodu wieku,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ogłoszenia lub pytania w rozmowie kwalifikacyjnej dotyczące wieku, planów emerytalnych lub rodzinnych jako zastępnika wieku,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odsuwanie od interesujących zadań i projektów z założenia, że ktoś jest „za młody” lub „za stary”,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zakładanie bez oceny rzeczywistych umiejętności, że starsza osoba nie opanuje nowych narzędzi albo że młoda osoba jest nieodpowiedzialna,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żarty, uwagi i przezwiska związane z wiekiem (np. „dziadek”, „emeryt”, „dzieciak”, „boomer”),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pomijanie w naradach, komunikacji i decyzjach z powodu wieku,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wskazywanie osób do zwolnienia lub niewydłużenia umowy na podstawie wieku,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mniej korzystne wynagrodzenie, premie lub świadczenia z powodu wieku.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Nie stanowi dyskryminacji zróżnicowanie traktowania, które: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wynika z przepisów prawa, np. dotyczących zatrudniania młodocianych i osób niepełnoletnich, pracy w szczególnych warunkach lub wieku emerytalnego,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wiąże się z ochroną pracowników w wieku przedemerytalnym (art. 39 Kodeksu pracy) lub innymi uprawnieniami związanymi z wiekiem,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jest działaniem pozytywnym, proporcjonalnym i czasowym, służącym wyrównaniu szans określonej grupy wiekowej (np. program stażowy dla osób młodych, program aktywizacji osób 50+),</w:t>
      </w:r>
    </w:p>
    <w:p>
      <w:pPr>
        <w:pStyle w:val="ListParagraph"/>
        <w:numPr>
          <w:ilvl w:val="1"/>
          <w:numId w:val="7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jest obiektywnie uzasadnione zgodnym z prawem celem, a zastosowane środki są właściwe i konieczne.</w:t>
      </w:r>
    </w:p>
    <w:p>
      <w:pPr>
        <w:pStyle w:val="ListParagraph"/>
        <w:numPr>
          <w:ilvl w:val="0"/>
          <w:numId w:val="7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 razie wątpliwości, czy dane zróżnicowanie jest dopuszczalne, decydent przed podjęciem decyzji konsultuje się z Osobą Odpowiedzialną i dokumentuje uzasadnienie.</w:t>
      </w:r>
    </w:p>
    <w:p>
      <w:pPr>
        <w:pStyle w:val="Heading1"/>
        <w:keepNext/>
        <w:pBdr>
          <w:bottom w:val="single" w:color="B5BDC4" w:sz="6" w:space="3"/>
        </w:pBdr>
        <w:spacing w:after="140" w:before="340"/>
      </w:pPr>
      <w:r>
        <w:rPr>
          <w:rFonts w:ascii="Calibri" w:cs="Calibri" w:eastAsia="Calibri" w:hAnsi="Calibri"/>
          <w:b/>
          <w:bCs/>
          <w:color w:val="4A5D6E"/>
          <w:sz w:val="26"/>
          <w:szCs w:val="26"/>
        </w:rPr>
        <w:t xml:space="preserve">§ 5. Obowiązki</w:t>
      </w:r>
    </w:p>
    <w:p>
      <w:pPr>
        <w:pStyle w:val="ListParagraph"/>
        <w:numPr>
          <w:ilvl w:val="0"/>
          <w:numId w:val="8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Pracodawca (zarząd):</w:t>
      </w:r>
    </w:p>
    <w:p>
      <w:pPr>
        <w:pStyle w:val="ListParagraph"/>
        <w:numPr>
          <w:ilvl w:val="1"/>
          <w:numId w:val="8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zapewnia warunki wdrożenia i przestrzegania Polityki oraz wyznacza Osobę Odpowiedzialną,</w:t>
      </w:r>
    </w:p>
    <w:p>
      <w:pPr>
        <w:pStyle w:val="ListParagraph"/>
        <w:numPr>
          <w:ilvl w:val="1"/>
          <w:numId w:val="8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zapoznaje z Polityką wszystkie osoby, których ona dotyczy,</w:t>
      </w:r>
    </w:p>
    <w:p>
      <w:pPr>
        <w:pStyle w:val="ListParagraph"/>
        <w:numPr>
          <w:ilvl w:val="1"/>
          <w:numId w:val="8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zapewnia szkolenia i środki potrzebne do przeciwdziałania dyskryminacji,</w:t>
      </w:r>
    </w:p>
    <w:p>
      <w:pPr>
        <w:pStyle w:val="ListParagraph"/>
        <w:numPr>
          <w:ilvl w:val="1"/>
          <w:numId w:val="8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reaguje na zgłoszenia i wyciąga konsekwencje wobec osób naruszających Politykę.</w:t>
      </w:r>
    </w:p>
    <w:p>
      <w:pPr>
        <w:pStyle w:val="ListParagraph"/>
        <w:numPr>
          <w:ilvl w:val="0"/>
          <w:numId w:val="8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Osoby kierujące zespołami:</w:t>
      </w:r>
    </w:p>
    <w:p>
      <w:pPr>
        <w:pStyle w:val="ListParagraph"/>
        <w:numPr>
          <w:ilvl w:val="1"/>
          <w:numId w:val="8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dają przykład i stosują jednolite kryteria przy ocenie, awansach i przydziale zadań,</w:t>
      </w:r>
    </w:p>
    <w:p>
      <w:pPr>
        <w:pStyle w:val="ListParagraph"/>
        <w:numPr>
          <w:ilvl w:val="1"/>
          <w:numId w:val="8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reagują na niewłaściwe zachowania niezwłocznie, w tym na żarty i uwagi o wieku,</w:t>
      </w:r>
    </w:p>
    <w:p>
      <w:pPr>
        <w:pStyle w:val="ListParagraph"/>
        <w:numPr>
          <w:ilvl w:val="1"/>
          <w:numId w:val="8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przekazują każde zgłoszenie lub podejrzenie dyskryminacji Osobie Odpowiedzialnej w ciągu </w:t>
      </w: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[2]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 dni roboczych.</w:t>
      </w:r>
    </w:p>
    <w:p>
      <w:pPr>
        <w:pStyle w:val="ListParagraph"/>
        <w:numPr>
          <w:ilvl w:val="0"/>
          <w:numId w:val="8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Wszyscy pracownicy i współpracownicy:</w:t>
      </w:r>
    </w:p>
    <w:p>
      <w:pPr>
        <w:pStyle w:val="ListParagraph"/>
        <w:numPr>
          <w:ilvl w:val="1"/>
          <w:numId w:val="8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przestrzegają Polityki i szanują godność innych niezależnie od wieku,</w:t>
      </w:r>
    </w:p>
    <w:p>
      <w:pPr>
        <w:pStyle w:val="ListParagraph"/>
        <w:numPr>
          <w:ilvl w:val="1"/>
          <w:numId w:val="8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zgłaszają zauważone naruszenia,</w:t>
      </w:r>
    </w:p>
    <w:p>
      <w:pPr>
        <w:pStyle w:val="ListParagraph"/>
        <w:numPr>
          <w:ilvl w:val="1"/>
          <w:numId w:val="8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współpracują w postępowaniu wyjaśniającym i zachowują poufność.</w:t>
      </w:r>
    </w:p>
    <w:p>
      <w:pPr>
        <w:pStyle w:val="ListParagraph"/>
        <w:numPr>
          <w:ilvl w:val="0"/>
          <w:numId w:val="8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Osoba Odpowiedzialna:</w:t>
      </w:r>
    </w:p>
    <w:p>
      <w:pPr>
        <w:pStyle w:val="ListParagraph"/>
        <w:numPr>
          <w:ilvl w:val="1"/>
          <w:numId w:val="8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przyjmuje zgłoszenia i koordynuje postępowania wyjaśniające,</w:t>
      </w:r>
    </w:p>
    <w:p>
      <w:pPr>
        <w:pStyle w:val="ListParagraph"/>
        <w:numPr>
          <w:ilvl w:val="1"/>
          <w:numId w:val="8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prowadzi poufny rejestr zgłoszeń,</w:t>
      </w:r>
    </w:p>
    <w:p>
      <w:pPr>
        <w:pStyle w:val="ListParagraph"/>
        <w:numPr>
          <w:ilvl w:val="1"/>
          <w:numId w:val="8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organizuje szkolenia i przygotowuje coroczny przegląd Polityki.</w:t>
      </w:r>
    </w:p>
    <w:p>
      <w:pPr>
        <w:pStyle w:val="Heading1"/>
        <w:keepNext/>
        <w:pBdr>
          <w:bottom w:val="single" w:color="B5BDC4" w:sz="6" w:space="3"/>
        </w:pBdr>
        <w:spacing w:after="140" w:before="340"/>
      </w:pPr>
      <w:r>
        <w:rPr>
          <w:rFonts w:ascii="Calibri" w:cs="Calibri" w:eastAsia="Calibri" w:hAnsi="Calibri"/>
          <w:b/>
          <w:bCs/>
          <w:color w:val="4A5D6E"/>
          <w:sz w:val="26"/>
          <w:szCs w:val="26"/>
        </w:rPr>
        <w:t xml:space="preserve">§ 6. Zgłaszanie naruszeń</w:t>
      </w:r>
    </w:p>
    <w:p>
      <w:pPr>
        <w:pStyle w:val="ListParagraph"/>
        <w:numPr>
          <w:ilvl w:val="0"/>
          <w:numId w:val="9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Każda osoba objęta Polityką, która uważa, że doświadczyła dyskryminacji ze względu na wiek lub była jej świadkiem, może zgłosić to:</w:t>
      </w:r>
    </w:p>
    <w:p>
      <w:pPr>
        <w:pStyle w:val="ListParagraph"/>
        <w:numPr>
          <w:ilvl w:val="1"/>
          <w:numId w:val="9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bezpośredniemu przełożonemu,</w:t>
      </w:r>
    </w:p>
    <w:p>
      <w:pPr>
        <w:pStyle w:val="ListParagraph"/>
        <w:numPr>
          <w:ilvl w:val="1"/>
          <w:numId w:val="9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Osobie Odpowiedzialnej, osobiście lub telefonicznie,</w:t>
      </w:r>
    </w:p>
    <w:p>
      <w:pPr>
        <w:pStyle w:val="ListParagraph"/>
        <w:numPr>
          <w:ilvl w:val="1"/>
          <w:numId w:val="9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pisemnie lub e-mailem na adres </w:t>
      </w: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[adres e-mail]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,</w:t>
      </w:r>
    </w:p>
    <w:p>
      <w:pPr>
        <w:pStyle w:val="ListParagraph"/>
        <w:numPr>
          <w:ilvl w:val="1"/>
          <w:numId w:val="9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za pomocą formularza stanowiącego Załącznik nr 1,</w:t>
      </w:r>
    </w:p>
    <w:p>
      <w:pPr>
        <w:pStyle w:val="ListParagraph"/>
        <w:numPr>
          <w:ilvl w:val="1"/>
          <w:numId w:val="9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[opcjonalnie: anonimowo przez skrzynkę zgłoszeń lub formularz online]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9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Zgłoszenie można złożyć w dowolnej formie. Nieskorzystanie z formularza nie wpływa na jego rozpatrzenie.</w:t>
      </w:r>
    </w:p>
    <w:p>
      <w:pPr>
        <w:pStyle w:val="ListParagraph"/>
        <w:numPr>
          <w:ilvl w:val="0"/>
          <w:numId w:val="9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Osoba zgłaszająca nie musi udowadniać dyskryminacji. Wystarczy uzasadnione przekonanie o jej wystąpieniu.</w:t>
      </w:r>
    </w:p>
    <w:p>
      <w:pPr>
        <w:pStyle w:val="ListParagraph"/>
        <w:numPr>
          <w:ilvl w:val="0"/>
          <w:numId w:val="9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Zgłoszenie dokonane w dobrej wierze nie może powodować żadnych negatywnych konsekwencji. Świadome składanie fałszywych oskarżeń może skutkować odpowiedzialnością porządkową lub dyscyplinarną.</w:t>
      </w:r>
    </w:p>
    <w:p>
      <w:pPr>
        <w:pStyle w:val="Heading1"/>
        <w:keepNext/>
        <w:pBdr>
          <w:bottom w:val="single" w:color="B5BDC4" w:sz="6" w:space="3"/>
        </w:pBdr>
        <w:spacing w:after="140" w:before="340"/>
      </w:pPr>
      <w:r>
        <w:rPr>
          <w:rFonts w:ascii="Calibri" w:cs="Calibri" w:eastAsia="Calibri" w:hAnsi="Calibri"/>
          <w:b/>
          <w:bCs/>
          <w:color w:val="4A5D6E"/>
          <w:sz w:val="26"/>
          <w:szCs w:val="26"/>
        </w:rPr>
        <w:t xml:space="preserve">§ 7. Postępowanie wyjaśniające</w:t>
      </w:r>
    </w:p>
    <w:p>
      <w:pPr>
        <w:pStyle w:val="ListParagraph"/>
        <w:numPr>
          <w:ilvl w:val="0"/>
          <w:numId w:val="10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Osoba Odpowiedzialna potwierdza przyjęcie zgłoszenia w ciągu </w:t>
      </w: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[3]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 dni roboczych.</w:t>
      </w:r>
    </w:p>
    <w:p>
      <w:pPr>
        <w:pStyle w:val="ListParagraph"/>
        <w:numPr>
          <w:ilvl w:val="0"/>
          <w:numId w:val="10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Zgłoszenie rozpatruje </w:t>
      </w: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[Osoba Odpowiedzialna albo komisja w składzie co najmniej 2 osób – wybierz właściwe rozwiązanie]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. Osoba rozpatrująca sprawę musi być bezstronna i nie może pozostawać w relacji zależności ani konfliktu interesów ze stronami. W razie wątpliwości podlega wyłączeniu.</w:t>
      </w:r>
    </w:p>
    <w:p>
      <w:pPr>
        <w:pStyle w:val="ListParagraph"/>
        <w:numPr>
          <w:ilvl w:val="0"/>
          <w:numId w:val="10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Postępowanie obejmuje w szczególności rozmowę z osobą zgłaszającą, umożliwienie osobie, której zgłoszenie dotyczy, przedstawienia stanowiska, wysłuchanie świadków oraz analizę dokumentów i danych (np. kryteriów oceny, wynagrodzeń).</w:t>
      </w:r>
    </w:p>
    <w:p>
      <w:pPr>
        <w:pStyle w:val="ListParagraph"/>
        <w:numPr>
          <w:ilvl w:val="0"/>
          <w:numId w:val="10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Postępowanie jest prowadzone rzetelnie, bez zbędnej zwłoki i kończy się w ciągu </w:t>
      </w: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[30]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 dni od przyjęcia zgłoszenia. W uzasadnionych przypadkach termin można przedłużyć o </w:t>
      </w: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[14]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 dni, informując o tym osobę zgłaszającą.</w:t>
      </w:r>
    </w:p>
    <w:p>
      <w:pPr>
        <w:pStyle w:val="ListParagraph"/>
        <w:numPr>
          <w:ilvl w:val="0"/>
          <w:numId w:val="10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Na czas postępowania Firma może zastosować środki tymczasowe (np. zmianę organizacji pracy lub rozdzielenie osób), które nie mogą być niekorzystne dla osoby zgłaszającej.</w:t>
      </w:r>
    </w:p>
    <w:p>
      <w:pPr>
        <w:pStyle w:val="ListParagraph"/>
        <w:numPr>
          <w:ilvl w:val="0"/>
          <w:numId w:val="10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 postępowania sporządza się protokół z ustaleniami i wnioskami. Osoba zgłaszająca oraz osoba, której zgłoszenie dotyczy, otrzymują informację o wyniku w niezbędnym zakresie.</w:t>
      </w:r>
    </w:p>
    <w:p>
      <w:pPr>
        <w:pStyle w:val="ListParagraph"/>
        <w:numPr>
          <w:ilvl w:val="0"/>
          <w:numId w:val="10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Jeżeli postępowanie potwierdzi naruszenie, Firma podejmuje działania adekwatne do jego wagi, w szczególności:</w:t>
      </w:r>
    </w:p>
    <w:p>
      <w:pPr>
        <w:pStyle w:val="ListParagraph"/>
        <w:numPr>
          <w:ilvl w:val="1"/>
          <w:numId w:val="10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rozmowę dyscyplinującą, szkolenie lub zmianę zasad pracy zespołu,</w:t>
      </w:r>
    </w:p>
    <w:p>
      <w:pPr>
        <w:pStyle w:val="ListParagraph"/>
        <w:numPr>
          <w:ilvl w:val="1"/>
          <w:numId w:val="10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karę porządkową (upomnienie, nagana, kara pieniężna) zgodnie z art. 108 Kodeksu pracy,</w:t>
      </w:r>
    </w:p>
    <w:p>
      <w:pPr>
        <w:pStyle w:val="ListParagraph"/>
        <w:numPr>
          <w:ilvl w:val="1"/>
          <w:numId w:val="10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zmianę warunków zatrudnienia albo rozwiązanie umowy, w przypadku poważnych naruszeń,</w:t>
      </w:r>
    </w:p>
    <w:p>
      <w:pPr>
        <w:pStyle w:val="ListParagraph"/>
        <w:numPr>
          <w:ilvl w:val="1"/>
          <w:numId w:val="10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wobec współpracowników spoza etatu: środki przewidziane w umowie,</w:t>
      </w:r>
    </w:p>
    <w:p>
      <w:pPr>
        <w:pStyle w:val="ListParagraph"/>
        <w:numPr>
          <w:ilvl w:val="1"/>
          <w:numId w:val="10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działania naprawcze wobec osoby poszkodowanej, np. przywrócenie utraconych uprawnień, wyrównanie wynagrodzenia, wsparcie.</w:t>
      </w:r>
    </w:p>
    <w:p>
      <w:pPr>
        <w:pStyle w:val="ListParagraph"/>
        <w:numPr>
          <w:ilvl w:val="0"/>
          <w:numId w:val="10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Dokumentacja postępowania jest przechowywana zgodnie z przepisami o ochronie danych osobowych przez okres </w:t>
      </w: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[3 lat]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, a dostęp do niej mają wyłącznie upoważnione osoby.</w:t>
      </w:r>
    </w:p>
    <w:p>
      <w:pPr>
        <w:pStyle w:val="Heading1"/>
        <w:keepNext/>
        <w:pBdr>
          <w:bottom w:val="single" w:color="B5BDC4" w:sz="6" w:space="3"/>
        </w:pBdr>
        <w:spacing w:after="140" w:before="340"/>
      </w:pPr>
      <w:r>
        <w:rPr>
          <w:rFonts w:ascii="Calibri" w:cs="Calibri" w:eastAsia="Calibri" w:hAnsi="Calibri"/>
          <w:b/>
          <w:bCs/>
          <w:color w:val="4A5D6E"/>
          <w:sz w:val="26"/>
          <w:szCs w:val="26"/>
        </w:rPr>
        <w:t xml:space="preserve">§ 8. Poufność i zakaz działań odwetowych</w:t>
      </w:r>
    </w:p>
    <w:p>
      <w:pPr>
        <w:pStyle w:val="ListParagraph"/>
        <w:numPr>
          <w:ilvl w:val="0"/>
          <w:numId w:val="11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Tożsamość osoby zgłaszającej oraz świadków jest chroniona i ujawniana wyłącznie osobom, które muszą ją znać w celu prowadzenia postępowania.</w:t>
      </w:r>
    </w:p>
    <w:p>
      <w:pPr>
        <w:pStyle w:val="ListParagraph"/>
        <w:numPr>
          <w:ilvl w:val="0"/>
          <w:numId w:val="11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Zakazane są wszelkie działania odwetowe wobec osoby zgłaszającej, świadków i osób udzielających im pomocy (art. 18³e Kodeksu pracy), w szczególności wypowiedzenie, pogorszenie warunków pracy, pominięcie w awansie, izolowanie, groźby lub mobbing.</w:t>
      </w:r>
    </w:p>
    <w:p>
      <w:pPr>
        <w:pStyle w:val="ListParagraph"/>
        <w:numPr>
          <w:ilvl w:val="0"/>
          <w:numId w:val="11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Działania odwetowe są traktowane jako ciężkie naruszenie Polityki i mogą skutkować odpowiedzialnością porządkową lub rozwiązaniem umowy.</w:t>
      </w:r>
    </w:p>
    <w:p>
      <w:pPr>
        <w:pStyle w:val="ListParagraph"/>
        <w:numPr>
          <w:ilvl w:val="0"/>
          <w:numId w:val="11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Osoba zgłaszająca może w każdej chwili zwrócić się do Osoby Odpowiedzialnej o wsparcie lub zmianę organizacji pracy na czas postępowania.</w:t>
      </w:r>
    </w:p>
    <w:p>
      <w:pPr>
        <w:pStyle w:val="Heading1"/>
        <w:keepNext/>
        <w:pBdr>
          <w:bottom w:val="single" w:color="B5BDC4" w:sz="6" w:space="3"/>
        </w:pBdr>
        <w:spacing w:after="140" w:before="340"/>
      </w:pPr>
      <w:r>
        <w:rPr>
          <w:rFonts w:ascii="Calibri" w:cs="Calibri" w:eastAsia="Calibri" w:hAnsi="Calibri"/>
          <w:b/>
          <w:bCs/>
          <w:color w:val="4A5D6E"/>
          <w:sz w:val="26"/>
          <w:szCs w:val="26"/>
        </w:rPr>
        <w:t xml:space="preserve">§ 9. Prawa osoby poszkodowanej i drogi zewnętrzne</w:t>
      </w:r>
    </w:p>
    <w:p>
      <w:pPr>
        <w:pStyle w:val="ListParagraph"/>
        <w:numPr>
          <w:ilvl w:val="0"/>
          <w:numId w:val="12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Wewnętrzna procedura nie wyłącza ani nie ogranicza prawa do dochodzenia roszczeń na drodze zewnętrznej.</w:t>
      </w:r>
    </w:p>
    <w:p>
      <w:pPr>
        <w:pStyle w:val="ListParagraph"/>
        <w:numPr>
          <w:ilvl w:val="0"/>
          <w:numId w:val="12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Pracownik, wobec którego pracodawca naruszył zasadę równego traktowania w zatrudnieniu, ma prawo do odszkodowania w wysokości nie niższej niż minimalne wynagrodzenie za pracę (art. 18³d Kodeksu pracy), dochodzonego przed sądem pracy.</w:t>
      </w:r>
    </w:p>
    <w:p>
      <w:pPr>
        <w:pStyle w:val="ListParagraph"/>
        <w:numPr>
          <w:ilvl w:val="0"/>
          <w:numId w:val="12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Osoba, która uważa, że została dyskryminowana, może także zwrócić się do Państwowej Inspekcji Pracy, Rzecznika Praw Obywatelskich, związku zawodowego lub organizacji pozarządowej zajmującej się równym traktowaniem.</w:t>
      </w:r>
    </w:p>
    <w:p>
      <w:pPr>
        <w:pStyle w:val="Heading1"/>
        <w:keepNext/>
        <w:pBdr>
          <w:bottom w:val="single" w:color="B5BDC4" w:sz="6" w:space="3"/>
        </w:pBdr>
        <w:spacing w:after="140" w:before="340"/>
      </w:pPr>
      <w:r>
        <w:rPr>
          <w:rFonts w:ascii="Calibri" w:cs="Calibri" w:eastAsia="Calibri" w:hAnsi="Calibri"/>
          <w:b/>
          <w:bCs/>
          <w:color w:val="4A5D6E"/>
          <w:sz w:val="26"/>
          <w:szCs w:val="26"/>
        </w:rPr>
        <w:t xml:space="preserve">§ 10. Zapobieganie i zarządzanie wiekiem</w:t>
      </w:r>
    </w:p>
    <w:p>
      <w:pPr>
        <w:pStyle w:val="ListParagraph"/>
        <w:numPr>
          <w:ilvl w:val="0"/>
          <w:numId w:val="13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Firma szkoli nowych pracowników z zakresu równego traktowania w ramach wdrożenia do pracy, a osoby kierujące zespołami oraz osoby prowadzące rekrutację co </w:t>
      </w: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[24]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 miesiące.</w:t>
      </w:r>
    </w:p>
    <w:p>
      <w:pPr>
        <w:pStyle w:val="ListParagraph"/>
        <w:numPr>
          <w:ilvl w:val="0"/>
          <w:numId w:val="13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Firma podejmuje działania sprzyjające współpracy międzypokoleniowej, w szczególności:</w:t>
      </w:r>
    </w:p>
    <w:p>
      <w:pPr>
        <w:pStyle w:val="ListParagraph"/>
        <w:numPr>
          <w:ilvl w:val="1"/>
          <w:numId w:val="13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mentoring i wymianę wiedzy między osobami w różnym wieku,</w:t>
      </w:r>
    </w:p>
    <w:p>
      <w:pPr>
        <w:pStyle w:val="ListParagraph"/>
        <w:numPr>
          <w:ilvl w:val="1"/>
          <w:numId w:val="13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elastyczne formy pracy (czas pracy, praca zdalna, niepełny wymiar) dostosowane do potrzeb na różnych etapach życia,</w:t>
      </w:r>
    </w:p>
    <w:p>
      <w:pPr>
        <w:pStyle w:val="ListParagraph"/>
        <w:numPr>
          <w:ilvl w:val="1"/>
          <w:numId w:val="13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ergonomię stanowisk pracy i profilaktykę zdrowotną,</w:t>
      </w:r>
    </w:p>
    <w:p>
      <w:pPr>
        <w:pStyle w:val="ListParagraph"/>
        <w:numPr>
          <w:ilvl w:val="1"/>
          <w:numId w:val="13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plany rozwoju dostępne dla wszystkich grup wiekowych,</w:t>
      </w:r>
    </w:p>
    <w:p>
      <w:pPr>
        <w:pStyle w:val="ListParagraph"/>
        <w:numPr>
          <w:ilvl w:val="1"/>
          <w:numId w:val="13"/>
        </w:numPr>
        <w:spacing w:after="5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planowanie przekazywania wiedzy przed odejściem pracowników na emeryturę.</w:t>
      </w:r>
    </w:p>
    <w:p>
      <w:pPr>
        <w:pStyle w:val="ListParagraph"/>
        <w:numPr>
          <w:ilvl w:val="0"/>
          <w:numId w:val="13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Firma przegląda swoje dokumenty (regulaminy, wzory ogłoszeń, formularze oceny) pod kątem treści pośrednio lub bezpośrednio dyskryminujących ze względu na wiek.</w:t>
      </w:r>
    </w:p>
    <w:p>
      <w:pPr>
        <w:pStyle w:val="ListParagraph"/>
        <w:numPr>
          <w:ilvl w:val="0"/>
          <w:numId w:val="13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Raz w roku Osoba Odpowiedzialna analizuje zanonimizowane dane (struktura wieku, rekrutacje, awanse, szkolenia, wynagrodzenia według grup wiekowych, liczba zgłoszeń) i przedstawia wnioski pracodawcy wraz z planem działań.</w:t>
      </w:r>
    </w:p>
    <w:p>
      <w:pPr>
        <w:pStyle w:val="Heading1"/>
        <w:keepNext/>
        <w:pBdr>
          <w:bottom w:val="single" w:color="B5BDC4" w:sz="6" w:space="3"/>
        </w:pBdr>
        <w:spacing w:after="140" w:before="340"/>
      </w:pPr>
      <w:r>
        <w:rPr>
          <w:rFonts w:ascii="Calibri" w:cs="Calibri" w:eastAsia="Calibri" w:hAnsi="Calibri"/>
          <w:b/>
          <w:bCs/>
          <w:color w:val="4A5D6E"/>
          <w:sz w:val="26"/>
          <w:szCs w:val="26"/>
        </w:rPr>
        <w:t xml:space="preserve">§ 11. Postanowienia końcowe</w:t>
      </w:r>
    </w:p>
    <w:p>
      <w:pPr>
        <w:pStyle w:val="ListParagraph"/>
        <w:numPr>
          <w:ilvl w:val="0"/>
          <w:numId w:val="14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Polityka wchodzi w życie z dniem </w:t>
      </w: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[dd.mm.rrrr]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4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Firma zapoznaje z Polityką pracowników przed rozpoczęciem pracy, a pozostałe osoby objęte Polityką przy rozpoczęciu współpracy. Zapoznanie potwierdza się w sposób określony w Załączniku nr 2. Polityka jest dostępna </w:t>
      </w: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[miejsce udostępnienia: intranet / tablica ogłoszeń / e-mail]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.</w:t>
      </w:r>
    </w:p>
    <w:p>
      <w:pPr>
        <w:pStyle w:val="ListParagraph"/>
        <w:numPr>
          <w:ilvl w:val="0"/>
          <w:numId w:val="14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Polityka podlega przeglądowi nie rzadziej niż raz na </w:t>
      </w: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[12]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 miesięcy oraz po każdej istotnej zmianie przepisów.</w:t>
      </w:r>
    </w:p>
    <w:p>
      <w:pPr>
        <w:pStyle w:val="ListParagraph"/>
        <w:numPr>
          <w:ilvl w:val="0"/>
          <w:numId w:val="14"/>
        </w:numPr>
        <w:spacing w:after="8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Polityka uzupełnia regulamin pracy oraz procedurę przeciwdziałania mobbingowi. W sprawach nieuregulowanych stosuje się powszechnie obowiązujące przepisy prawa, w tym Kodeks pracy.</w:t>
      </w:r>
    </w:p>
    <w:p>
      <w:pPr>
        <w:spacing w:after="30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00"/>
        <w:gridCol w:w="5038"/>
      </w:tblGrid>
      <w:tr>
        <w:trPr>
          <w:cantSplit/>
        </w:trPr>
        <w:tc>
          <w:tcPr>
            <w:tcW w:type="dxa" w:w="4600"/>
            <w:vAlign w:val="bottom"/>
          </w:tcPr>
          <w:p>
            <w:r>
              <w:rPr>
                <w:rFonts w:ascii="Calibri" w:cs="Calibri" w:eastAsia="Calibri" w:hAnsi="Calibri"/>
                <w:color w:val="2F3B47"/>
                <w:sz w:val="22"/>
                <w:szCs w:val="22"/>
                <w:highlight w:val="lightGray"/>
                <w:highlightCs w:val="lightGray"/>
              </w:rPr>
              <w:t xml:space="preserve">[Miejscowość]</w:t>
            </w:r>
            <w:r>
              <w:rPr>
                <w:rFonts w:ascii="Calibri" w:cs="Calibri" w:eastAsia="Calibri" w:hAnsi="Calibri"/>
                <w:color w:val="2F3B47"/>
                <w:sz w:val="22"/>
                <w:szCs w:val="22"/>
              </w:rPr>
              <w:t xml:space="preserve">, dnia </w:t>
            </w:r>
            <w:r>
              <w:rPr>
                <w:rFonts w:ascii="Calibri" w:cs="Calibri" w:eastAsia="Calibri" w:hAnsi="Calibri"/>
                <w:color w:val="2F3B47"/>
                <w:sz w:val="22"/>
                <w:szCs w:val="22"/>
                <w:highlight w:val="lightGray"/>
                <w:highlightCs w:val="lightGray"/>
              </w:rPr>
              <w:t xml:space="preserve">[dd.mm.rrrr]</w:t>
            </w:r>
          </w:p>
        </w:tc>
        <w:tc>
          <w:tcPr>
            <w:tcW w:type="dxa" w:w="5038"/>
          </w:tcPr>
          <w:p>
            <w:pPr>
              <w:pBdr>
                <w:top w:val="dotted" w:color="5F6B76" w:sz="6" w:space="4"/>
              </w:pBdr>
              <w:spacing w:after="0" w:before="700"/>
              <w:jc w:val="center"/>
            </w:pPr>
            <w:r>
              <w:rPr>
                <w:rFonts w:ascii="Calibri" w:cs="Calibri" w:eastAsia="Calibri" w:hAnsi="Calibri"/>
                <w:color w:val="5F6B76"/>
                <w:sz w:val="19"/>
                <w:szCs w:val="19"/>
                <w:highlight w:val="lightGray"/>
                <w:highlightCs w:val="lightGray"/>
              </w:rPr>
              <w:t xml:space="preserve">[Podpis pracodawcy lub osoby uprawnionej do reprezentacji]</w:t>
            </w:r>
          </w:p>
        </w:tc>
      </w:tr>
    </w:tbl>
    <w:p>
      <w:pPr>
        <w:pageBreakBefore/>
        <w:spacing w:after="60"/>
      </w:pPr>
      <w:r>
        <w:rPr>
          <w:rFonts w:ascii="Calibri" w:cs="Calibri" w:eastAsia="Calibri" w:hAnsi="Calibri"/>
          <w:b/>
          <w:bCs/>
          <w:color w:val="2F3B47"/>
          <w:sz w:val="34"/>
          <w:szCs w:val="34"/>
        </w:rPr>
        <w:t xml:space="preserve">Załącznik nr 1</w:t>
      </w:r>
    </w:p>
    <w:p>
      <w:pPr>
        <w:pBdr>
          <w:bottom w:val="single" w:color="4A5D6E" w:sz="8" w:space="6"/>
        </w:pBdr>
        <w:spacing w:after="200"/>
      </w:pPr>
      <w:r>
        <w:rPr>
          <w:rFonts w:ascii="Calibri" w:cs="Calibri" w:eastAsia="Calibri" w:hAnsi="Calibri"/>
          <w:color w:val="4A5D6E"/>
          <w:sz w:val="26"/>
          <w:szCs w:val="26"/>
        </w:rPr>
        <w:t xml:space="preserve">Formularz zgłoszenia dyskryminacji ze względu na wiek</w:t>
      </w:r>
    </w:p>
    <w:p>
      <w:pPr>
        <w:spacing w:after="100" w:line="276"/>
      </w:pPr>
      <w:r>
        <w:rPr>
          <w:rFonts w:ascii="Calibri" w:cs="Calibri" w:eastAsia="Calibri" w:hAnsi="Calibri"/>
          <w:color w:val="5F6B76"/>
          <w:sz w:val="21"/>
          <w:szCs w:val="21"/>
        </w:rPr>
        <w:t xml:space="preserve">Formularz jest dobrowolny. Zgłoszenie można złożyć także ustnie, e-mailem lub w innej formie. Dane osoby zgłaszającej są objęte poufnością.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  <w:trHeight w:val="44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Data zgłoszenia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Imię i nazwisko osoby zgłaszającej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5F6B76"/>
                <w:sz w:val="21"/>
                <w:szCs w:val="21"/>
                <w:highlight w:val="lightGray"/>
                <w:highlightCs w:val="lightGray"/>
              </w:rPr>
              <w:t xml:space="preserve">[opcjonalnie, jeżeli Firma dopuszcza zgłoszenia anonimowe]</w:t>
            </w: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Stanowisko / dział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Dane kontaktowe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Zgłoszenie dotyczy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☐ własnej sytuacji     ☐ sytuacji innej osoby (świadek)</w:t>
            </w:r>
          </w:p>
        </w:tc>
      </w:tr>
      <w:tr>
        <w:trPr>
          <w:cantSplit/>
          <w:trHeight w:val="50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Osoba lub osoby, których dotyczy zgłoszenie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Data i miejsce zdarzenia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Obszar zdarzenia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☐ rekrutacja     ☐ wynagrodzenie     ☐ awans</w:t>
            </w:r>
          </w:p>
          <w:p>
            <w:pPr>
              <w:spacing w:after="0" w:line="264"/>
            </w:pPr>
          </w:p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☐ szkolenia     ☐ rozwiązanie umowy     ☐ zachowanie / komentarze     ☐ inne</w:t>
            </w:r>
          </w:p>
        </w:tc>
      </w:tr>
      <w:tr>
        <w:trPr>
          <w:cantSplit/>
          <w:trHeight w:val="190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Opis zdarzenia (co się stało, jak często, w jaki sposób wiek miał znaczenie)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50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Świadkowie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50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Dowody lub dokumenty (np. wiadomości, ogłoszenia)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70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Oczekiwany sposób rozwiązania sprawy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44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Zgoda na ujawnienie tożsamości osobie, której dotyczy zgłoszenie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☐ tak     ☐ nie</w:t>
            </w:r>
          </w:p>
        </w:tc>
      </w:tr>
      <w:tr>
        <w:trPr>
          <w:cantSplit/>
          <w:trHeight w:val="50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Podpis osoby zgłaszającej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</w:tbl>
    <w:p>
      <w:pPr>
        <w:spacing w:after="160"/>
      </w:pPr>
    </w:p>
    <w:p>
      <w:pPr>
        <w:spacing w:after="80"/>
      </w:pPr>
      <w:r>
        <w:rPr>
          <w:rFonts w:ascii="Calibri" w:cs="Calibri" w:eastAsia="Calibri" w:hAnsi="Calibri"/>
          <w:b/>
          <w:bCs/>
          <w:color w:val="4A5D6E"/>
          <w:sz w:val="21"/>
          <w:szCs w:val="21"/>
        </w:rPr>
        <w:t xml:space="preserve">Wypełnia osoba przyjmująca zgłoszenie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438"/>
      </w:tblGrid>
      <w:tr>
        <w:trPr>
          <w:cantSplit/>
          <w:trHeight w:val="42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Data przyjęcia zgłoszenia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42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Numer w rejestrze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480" w:hRule="atLeast"/>
        </w:trPr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Imię, nazwisko i podpis przyjmującego</w:t>
            </w:r>
          </w:p>
        </w:tc>
        <w:tc>
          <w:tcPr>
            <w:tcW w:type="dxa" w:w="64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</w:tbl>
    <w:p>
      <w:pPr>
        <w:pageBreakBefore/>
        <w:spacing w:after="60"/>
      </w:pPr>
      <w:r>
        <w:rPr>
          <w:rFonts w:ascii="Calibri" w:cs="Calibri" w:eastAsia="Calibri" w:hAnsi="Calibri"/>
          <w:b/>
          <w:bCs/>
          <w:color w:val="2F3B47"/>
          <w:sz w:val="34"/>
          <w:szCs w:val="34"/>
        </w:rPr>
        <w:t xml:space="preserve">Załącznik nr 2</w:t>
      </w:r>
    </w:p>
    <w:p>
      <w:pPr>
        <w:pBdr>
          <w:bottom w:val="single" w:color="4A5D6E" w:sz="8" w:space="6"/>
        </w:pBdr>
        <w:spacing w:after="200"/>
      </w:pPr>
      <w:r>
        <w:rPr>
          <w:rFonts w:ascii="Calibri" w:cs="Calibri" w:eastAsia="Calibri" w:hAnsi="Calibri"/>
          <w:color w:val="4A5D6E"/>
          <w:sz w:val="26"/>
          <w:szCs w:val="26"/>
        </w:rPr>
        <w:t xml:space="preserve">Potwierdzenie zapoznania się z Polityką</w:t>
      </w:r>
    </w:p>
    <w:p>
      <w:pPr>
        <w:spacing w:after="100" w:line="276"/>
      </w:pPr>
      <w:r>
        <w:rPr>
          <w:rFonts w:ascii="Calibri" w:cs="Calibri" w:eastAsia="Calibri" w:hAnsi="Calibri"/>
          <w:color w:val="2F3B47"/>
          <w:sz w:val="22"/>
          <w:szCs w:val="22"/>
        </w:rPr>
        <w:t xml:space="preserve">Oświadczam, że zapoznałem(-am) się z Polityką przeciwdziałania dyskryminacji ze względu na wiek obowiązującą w </w:t>
      </w:r>
      <w:r>
        <w:rPr>
          <w:rFonts w:ascii="Calibri" w:cs="Calibri" w:eastAsia="Calibri" w:hAnsi="Calibri"/>
          <w:color w:val="2F3B47"/>
          <w:sz w:val="22"/>
          <w:szCs w:val="22"/>
          <w:highlight w:val="lightGray"/>
          <w:highlightCs w:val="lightGray"/>
        </w:rPr>
        <w:t xml:space="preserve">[Nazwa firmy]</w:t>
      </w:r>
      <w:r>
        <w:rPr>
          <w:rFonts w:ascii="Calibri" w:cs="Calibri" w:eastAsia="Calibri" w:hAnsi="Calibri"/>
          <w:color w:val="2F3B47"/>
          <w:sz w:val="22"/>
          <w:szCs w:val="22"/>
        </w:rPr>
        <w:t xml:space="preserve">, rozumiem jej treść i zobowiązuję się do jej przestrzegania. Wiem, do kogo mogę zgłosić podejrzenie dyskryminacji oraz że zgłoszenie w dobrej wierze jest chronione przed działaniami odwetowymi.</w:t>
      </w:r>
    </w:p>
    <w:p>
      <w:pPr>
        <w:spacing w:after="10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00"/>
        <w:gridCol w:w="3200"/>
        <w:gridCol w:w="2200"/>
        <w:gridCol w:w="1400"/>
        <w:gridCol w:w="2138"/>
      </w:tblGrid>
      <w:tr>
        <w:trPr>
          <w:cantSplit/>
          <w:tblHeader/>
        </w:trPr>
        <w:tc>
          <w:tcPr>
            <w:tcW w:type="dxa" w:w="7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Lp.</w:t>
            </w:r>
          </w:p>
        </w:tc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Imię i nazwisko</w:t>
            </w:r>
          </w:p>
        </w:tc>
        <w:tc>
          <w:tcPr>
            <w:tcW w:type="dxa" w:w="2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Stanowisko</w:t>
            </w:r>
          </w:p>
        </w:tc>
        <w:tc>
          <w:tcPr>
            <w:tcW w:type="dxa" w:w="14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Data</w:t>
            </w:r>
          </w:p>
        </w:tc>
        <w:tc>
          <w:tcPr>
            <w:tcW w:type="dxa" w:w="21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Podpis</w:t>
            </w: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1</w:t>
            </w:r>
          </w:p>
        </w:tc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14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1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2</w:t>
            </w:r>
          </w:p>
        </w:tc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14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1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3</w:t>
            </w:r>
          </w:p>
        </w:tc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14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1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4</w:t>
            </w:r>
          </w:p>
        </w:tc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14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1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5</w:t>
            </w:r>
          </w:p>
        </w:tc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14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1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6</w:t>
            </w:r>
          </w:p>
        </w:tc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14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1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7</w:t>
            </w:r>
          </w:p>
        </w:tc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14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1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8</w:t>
            </w:r>
          </w:p>
        </w:tc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14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1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9</w:t>
            </w:r>
          </w:p>
        </w:tc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14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1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10</w:t>
            </w:r>
          </w:p>
        </w:tc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14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1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11</w:t>
            </w:r>
          </w:p>
        </w:tc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14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1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  <w:tr>
        <w:trPr>
          <w:cantSplit/>
          <w:trHeight w:val="520" w:hRule="atLeast"/>
        </w:trPr>
        <w:tc>
          <w:tcPr>
            <w:tcW w:type="dxa" w:w="7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  <w:jc w:val="center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12</w:t>
            </w:r>
          </w:p>
        </w:tc>
        <w:tc>
          <w:tcPr>
            <w:tcW w:type="dxa" w:w="3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2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1400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  <w:tc>
          <w:tcPr>
            <w:tcW w:type="dxa" w:w="21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</w:p>
        </w:tc>
      </w:tr>
    </w:tbl>
    <w:p>
      <w:pPr>
        <w:pageBreakBefore/>
        <w:spacing w:after="60"/>
      </w:pPr>
      <w:r>
        <w:rPr>
          <w:rFonts w:ascii="Calibri" w:cs="Calibri" w:eastAsia="Calibri" w:hAnsi="Calibri"/>
          <w:b/>
          <w:bCs/>
          <w:color w:val="2F3B47"/>
          <w:sz w:val="34"/>
          <w:szCs w:val="34"/>
        </w:rPr>
        <w:t xml:space="preserve">Załącznik nr 3</w:t>
      </w:r>
    </w:p>
    <w:p>
      <w:pPr>
        <w:pBdr>
          <w:bottom w:val="single" w:color="4A5D6E" w:sz="8" w:space="6"/>
        </w:pBdr>
        <w:spacing w:after="200"/>
      </w:pPr>
      <w:r>
        <w:rPr>
          <w:rFonts w:ascii="Calibri" w:cs="Calibri" w:eastAsia="Calibri" w:hAnsi="Calibri"/>
          <w:color w:val="4A5D6E"/>
          <w:sz w:val="26"/>
          <w:szCs w:val="26"/>
        </w:rPr>
        <w:t xml:space="preserve">Praktyczne wskazówki: jak mówić i pisać bez dyskryminacji wiekowej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cantSplit/>
          <w:tblHeader/>
        </w:trPr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DDE3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Unikaj</w:t>
            </w:r>
          </w:p>
        </w:tc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DDE3E8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2F3B47"/>
                <w:sz w:val="21"/>
                <w:szCs w:val="21"/>
              </w:rPr>
              <w:t xml:space="preserve">Zamiast tego</w:t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4A5D6E"/>
                <w:sz w:val="21"/>
                <w:szCs w:val="21"/>
              </w:rPr>
              <w:t xml:space="preserve">Ogłoszenia o pracę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„Młody, dynamiczny zespół”</w:t>
            </w:r>
          </w:p>
        </w:tc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„Zespół, który ceni zaangażowanie i chęć rozwoju”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„Poszukujemy osoby do 35. roku życia”</w:t>
            </w:r>
          </w:p>
        </w:tc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Opis konkretnych wymagań: umiejętności, uprawnień, doświadczenia w danym obszarze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„Od 3 do 8 lat doświadczenia”</w:t>
            </w:r>
          </w:p>
        </w:tc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„Doświadczenie w </w:t>
            </w:r>
            <w:r>
              <w:rPr>
                <w:rFonts w:ascii="Calibri" w:cs="Calibri" w:eastAsia="Calibri" w:hAnsi="Calibri"/>
                <w:color w:val="2F3B47"/>
                <w:sz w:val="21"/>
                <w:szCs w:val="21"/>
                <w:highlight w:val="lightGray"/>
                <w:highlightCs w:val="lightGray"/>
              </w:rPr>
              <w:t xml:space="preserve">[obszar]</w:t>
            </w: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” (bez górnego limitu)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„Osoba z energią i świeżym spojrzeniem”</w:t>
            </w:r>
          </w:p>
        </w:tc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„Osoba, która proponuje usprawnienia i nowe rozwiązania”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„Cyfrowy tubylec” / „digital native”</w:t>
            </w:r>
          </w:p>
        </w:tc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„Dobra znajomość narzędzi: </w:t>
            </w:r>
            <w:r>
              <w:rPr>
                <w:rFonts w:ascii="Calibri" w:cs="Calibri" w:eastAsia="Calibri" w:hAnsi="Calibri"/>
                <w:color w:val="2F3B47"/>
                <w:sz w:val="21"/>
                <w:szCs w:val="21"/>
                <w:highlight w:val="lightGray"/>
                <w:highlightCs w:val="lightGray"/>
              </w:rPr>
              <w:t xml:space="preserve">[nazwy narzędzi]</w:t>
            </w: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”</w:t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4A5D6E"/>
                <w:sz w:val="21"/>
                <w:szCs w:val="21"/>
              </w:rPr>
              <w:t xml:space="preserve">Rozmowa kwalifikacyjna i ocena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„Ile ma Pan/Pani lat?” / „Kiedy planuje Pan/Pani przejść na emeryturę?”</w:t>
            </w:r>
          </w:p>
        </w:tc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Pytania wyłącznie o kwalifikacje, doświadczenie, dostępność do pracy i oczekiwania zawodowe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„Czy w tym wieku da sobie Pan/Pani radę z nowymi technologiami?”</w:t>
            </w:r>
          </w:p>
        </w:tc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„Z jakimi narzędziami Pan/Pani pracował(-a) i jak uczy się Pan/Pani nowych?”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„Nie zmieścimy go w zespole, bo jest od wszystkich starszy / młodszy”</w:t>
            </w:r>
          </w:p>
        </w:tc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Ocena dopasowania do zadań i sposobu współpracy, bez odniesień do wieku</w:t>
            </w:r>
          </w:p>
        </w:tc>
      </w:tr>
      <w:tr>
        <w:trPr>
          <w:cantSplit/>
        </w:trPr>
        <w:tc>
          <w:tcPr>
            <w:tcW w:type="dxa" w:w="9638"/>
            <w:gridSpan w:val="2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EEF1F4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b/>
                <w:bCs/>
                <w:color w:val="4A5D6E"/>
                <w:sz w:val="21"/>
                <w:szCs w:val="21"/>
              </w:rPr>
              <w:t xml:space="preserve">Codzienna praca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„Nie opłaca się go szkolić, niedługo odejdzie na emeryturę”</w:t>
            </w:r>
          </w:p>
        </w:tc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Szkolenia przyznawane według potrzeb stanowiska i planu rozwoju, jednakowo dla wszystkich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„Jesteś jeszcze za młody/a, żeby prowadzić ten projekt”</w:t>
            </w:r>
          </w:p>
        </w:tc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Ocena na podstawie kompetencji, wyników i gotowości do podjęcia roli</w:t>
            </w:r>
          </w:p>
        </w:tc>
      </w:tr>
      <w:tr>
        <w:trPr>
          <w:cantSplit/>
        </w:trPr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„No tak, boomer / dziadek / dzieciak”</w:t>
            </w:r>
          </w:p>
        </w:tc>
        <w:tc>
          <w:tcPr>
            <w:tcW w:type="dxa" w:w="4819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0" w:line="264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Komunikacja bez odniesień do wieku; zwrot do osoby po imieniu lub stanowisku</w:t>
            </w:r>
          </w:p>
        </w:tc>
      </w:tr>
    </w:tbl>
    <w:p>
      <w:pPr>
        <w:spacing w:after="200"/>
      </w:pPr>
    </w:p>
    <w:p>
      <w:pPr>
        <w:keepNext/>
        <w:spacing w:after="100"/>
      </w:pPr>
      <w:r>
        <w:rPr>
          <w:rFonts w:ascii="Calibri" w:cs="Calibri" w:eastAsia="Calibri" w:hAnsi="Calibri"/>
          <w:b/>
          <w:bCs/>
          <w:color w:val="4A5D6E"/>
          <w:sz w:val="22"/>
          <w:szCs w:val="22"/>
        </w:rPr>
        <w:t xml:space="preserve">Lista kontrolna przed podjęciem decyzji kadrowej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single" w:color="B5BDC4" w:sz="4"/>
              <w:left w:val="single" w:color="B5BDC4" w:sz="4"/>
              <w:bottom w:val="single" w:color="B5BDC4" w:sz="4"/>
              <w:right w:val="single" w:color="B5BDC4" w:sz="4"/>
            </w:tcBorders>
            <w:shd w:fill="F6F7F9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80" w:line="270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☐  Decyzja opiera się na kompetencjach, wynikach i wymaganiach stanowiska.</w:t>
            </w:r>
          </w:p>
          <w:p>
            <w:pPr>
              <w:spacing w:after="80" w:line="270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☐  Taka sama decyzja zapadłaby wobec osoby w innym wieku, o takich samych kwalifikacjach.</w:t>
            </w:r>
          </w:p>
          <w:p>
            <w:pPr>
              <w:spacing w:after="80" w:line="270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☐  Nie kieruję się stereotypem na temat osób młodszych lub starszych.</w:t>
            </w:r>
          </w:p>
          <w:p>
            <w:pPr>
              <w:spacing w:after="80" w:line="270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☐  Uzasadnienie decyzji jest zapisane i możliwe do przedstawienia.</w:t>
            </w:r>
          </w:p>
          <w:p>
            <w:pPr>
              <w:spacing w:after="0" w:line="270"/>
            </w:pPr>
            <w:r>
              <w:rPr>
                <w:rFonts w:ascii="Calibri" w:cs="Calibri" w:eastAsia="Calibri" w:hAnsi="Calibri"/>
                <w:color w:val="2F3B47"/>
                <w:sz w:val="21"/>
                <w:szCs w:val="21"/>
              </w:rPr>
              <w:t xml:space="preserve">☐  W razie wątpliwości skonsultowałem(-am) się z Osobą Odpowiedzialną.</w:t>
            </w:r>
          </w:p>
        </w:tc>
      </w:tr>
    </w:tbl>
    <w:sectPr>
      <w:footerReference w:type="default" r:id="rId7"/>
      <w:pgSz w:w="11906" w:h="16838" w:orient="portrait"/>
      <w:pgMar w:top="1134" w:right="1134" w:bottom="1134" w:left="1134" w:header="708" w:footer="708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5BDC4" w:sz="4" w:space="6"/>
      </w:pBdr>
      <w:tabs>
        <w:tab w:val="right" w:pos="9638"/>
      </w:tabs>
    </w:pPr>
    <w:r>
      <w:rPr>
        <w:rFonts w:ascii="Calibri" w:cs="Calibri" w:eastAsia="Calibri" w:hAnsi="Calibri"/>
        <w:color w:val="5F6B76"/>
        <w:sz w:val="18"/>
        <w:szCs w:val="18"/>
      </w:rPr>
      <w:t xml:space="preserve">Polityka przeciwdziałania dyskryminacji ze względu na wiek  |  </w:t>
    </w:r>
    <w:r>
      <w:rPr>
        <w:rFonts w:ascii="Calibri" w:cs="Calibri" w:eastAsia="Calibri" w:hAnsi="Calibri"/>
        <w:color w:val="5F6B76"/>
        <w:sz w:val="18"/>
        <w:szCs w:val="18"/>
        <w:highlight w:val="lightGray"/>
        <w:highlightCs w:val="lightGray"/>
      </w:rPr>
      <w:t xml:space="preserve">[Nazwa firmy]</w:t>
    </w:r>
    <w:r>
      <w:rPr>
        <w:rFonts w:ascii="Calibri" w:cs="Calibri" w:eastAsia="Calibri" w:hAnsi="Calibri"/>
        <w:color w:val="5F6B76"/>
        <w:sz w:val="18"/>
        <w:szCs w:val="18"/>
      </w:rPr>
      <w:t xml:space="preserve">	Strona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4" w:hanging="454"/>
      </w:pPr>
    </w:lvl>
    <w:lvl w:ilvl="1" w15:tentative="1">
      <w:start w:val="1"/>
      <w:numFmt w:val="lowerLetter"/>
      <w:lvlText w:val="%2)"/>
      <w:lvlJc w:val="left"/>
      <w:pPr>
        <w:ind w:left="908" w:hanging="454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4" w:hanging="454"/>
      </w:pPr>
    </w:lvl>
    <w:lvl w:ilvl="1" w15:tentative="1">
      <w:start w:val="1"/>
      <w:numFmt w:val="lowerLetter"/>
      <w:lvlText w:val="%2)"/>
      <w:lvlJc w:val="left"/>
      <w:pPr>
        <w:ind w:left="908" w:hanging="454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4" w:hanging="454"/>
      </w:pPr>
    </w:lvl>
    <w:lvl w:ilvl="1" w15:tentative="1">
      <w:start w:val="1"/>
      <w:numFmt w:val="lowerLetter"/>
      <w:lvlText w:val="%2)"/>
      <w:lvlJc w:val="left"/>
      <w:pPr>
        <w:ind w:left="908" w:hanging="454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4" w:hanging="454"/>
      </w:pPr>
    </w:lvl>
    <w:lvl w:ilvl="1" w15:tentative="1">
      <w:start w:val="1"/>
      <w:numFmt w:val="lowerLetter"/>
      <w:lvlText w:val="%2)"/>
      <w:lvlJc w:val="left"/>
      <w:pPr>
        <w:ind w:left="908" w:hanging="454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4" w:hanging="454"/>
      </w:pPr>
    </w:lvl>
    <w:lvl w:ilvl="1" w15:tentative="1">
      <w:start w:val="1"/>
      <w:numFmt w:val="lowerLetter"/>
      <w:lvlText w:val="%2)"/>
      <w:lvlJc w:val="left"/>
      <w:pPr>
        <w:ind w:left="908" w:hanging="454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4" w:hanging="454"/>
      </w:pPr>
    </w:lvl>
    <w:lvl w:ilvl="1" w15:tentative="1">
      <w:start w:val="1"/>
      <w:numFmt w:val="lowerLetter"/>
      <w:lvlText w:val="%2)"/>
      <w:lvlJc w:val="left"/>
      <w:pPr>
        <w:ind w:left="908" w:hanging="454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4" w:hanging="454"/>
      </w:pPr>
    </w:lvl>
    <w:lvl w:ilvl="1" w15:tentative="1">
      <w:start w:val="1"/>
      <w:numFmt w:val="lowerLetter"/>
      <w:lvlText w:val="%2)"/>
      <w:lvlJc w:val="left"/>
      <w:pPr>
        <w:ind w:left="908" w:hanging="454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4" w:hanging="454"/>
      </w:pPr>
    </w:lvl>
    <w:lvl w:ilvl="1" w15:tentative="1">
      <w:start w:val="1"/>
      <w:numFmt w:val="lowerLetter"/>
      <w:lvlText w:val="%2)"/>
      <w:lvlJc w:val="left"/>
      <w:pPr>
        <w:ind w:left="908" w:hanging="454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4" w:hanging="454"/>
      </w:pPr>
    </w:lvl>
    <w:lvl w:ilvl="1" w15:tentative="1">
      <w:start w:val="1"/>
      <w:numFmt w:val="lowerLetter"/>
      <w:lvlText w:val="%2)"/>
      <w:lvlJc w:val="left"/>
      <w:pPr>
        <w:ind w:left="908" w:hanging="454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4" w:hanging="454"/>
      </w:pPr>
    </w:lvl>
    <w:lvl w:ilvl="1" w15:tentative="1">
      <w:start w:val="1"/>
      <w:numFmt w:val="lowerLetter"/>
      <w:lvlText w:val="%2)"/>
      <w:lvlJc w:val="left"/>
      <w:pPr>
        <w:ind w:left="908" w:hanging="454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4" w:hanging="454"/>
      </w:pPr>
    </w:lvl>
    <w:lvl w:ilvl="1" w15:tentative="1">
      <w:start w:val="1"/>
      <w:numFmt w:val="lowerLetter"/>
      <w:lvlText w:val="%2)"/>
      <w:lvlJc w:val="left"/>
      <w:pPr>
        <w:ind w:left="908" w:hanging="454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54" w:hanging="454"/>
      </w:pPr>
    </w:lvl>
    <w:lvl w:ilvl="1" w15:tentative="1">
      <w:start w:val="1"/>
      <w:numFmt w:val="lowerLetter"/>
      <w:lvlText w:val="%2)"/>
      <w:lvlJc w:val="left"/>
      <w:pPr>
        <w:ind w:left="908" w:hanging="454"/>
      </w:pPr>
    </w:lvl>
  </w:abstractNum>
  <w:abstractNum w:abstractNumId="14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4A5D6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14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4"/>
    <w:lvlOverride w:ilvl="0">
      <w:startOverride w:val="1"/>
    </w:lvlOverride>
  </w:num>
  <w:num w:numId="6">
    <w:abstractNumId w:val="5"/>
    <w:lvlOverride w:ilvl="0">
      <w:startOverride w:val="1"/>
    </w:lvlOverride>
  </w:num>
  <w:num w:numId="7">
    <w:abstractNumId w:val="6"/>
    <w:lvlOverride w:ilvl="0">
      <w:startOverride w:val="1"/>
    </w:lvlOverride>
  </w:num>
  <w:num w:numId="8">
    <w:abstractNumId w:val="7"/>
    <w:lvlOverride w:ilvl="0">
      <w:startOverride w:val="1"/>
    </w:lvlOverride>
  </w:num>
  <w:num w:numId="9">
    <w:abstractNumId w:val="8"/>
    <w:lvlOverride w:ilvl="0">
      <w:startOverride w:val="1"/>
    </w:lvlOverride>
  </w:num>
  <w:num w:numId="10">
    <w:abstractNumId w:val="9"/>
    <w:lvlOverride w:ilvl="0">
      <w:startOverride w:val="1"/>
    </w:lvlOverride>
  </w:num>
  <w:num w:numId="11">
    <w:abstractNumId w:val="10"/>
    <w:lvlOverride w:ilvl="0">
      <w:startOverride w:val="1"/>
    </w:lvlOverride>
  </w:num>
  <w:num w:numId="12">
    <w:abstractNumId w:val="11"/>
    <w:lvlOverride w:ilvl="0">
      <w:startOverride w:val="1"/>
    </w:lvlOverride>
  </w:num>
  <w:num w:numId="13">
    <w:abstractNumId w:val="12"/>
    <w:lvlOverride w:ilvl="0">
      <w:startOverride w:val="1"/>
    </w:lvlOverride>
  </w:num>
  <w:num w:numId="14">
    <w:abstractNumId w:val="1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F3B47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40" w:before="340"/>
      <w:outlineLvl w:val="0"/>
    </w:pPr>
    <w:rPr>
      <w:rFonts w:ascii="Calibri" w:cs="Calibri" w:eastAsia="Calibri" w:hAnsi="Calibri"/>
      <w:b/>
      <w:bCs/>
      <w:color w:val="4A5D6E"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Polityka przeciwdziałania dyskryminacji ze względu na wiek</dc:title>
  <dc:creator>Wzór dokumentu</dc:creator>
  <cp:lastModifiedBy>Un-named</cp:lastModifiedBy>
  <cp:revision>1</cp:revision>
  <dcterms:created xsi:type="dcterms:W3CDTF">2026-10-17T05:53:44.444Z</dcterms:created>
  <dcterms:modified xsi:type="dcterms:W3CDTF">2026-10-17T05:53:44.444Z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